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3" w:type="dxa"/>
        <w:tblLook w:val="04A0"/>
      </w:tblPr>
      <w:tblGrid>
        <w:gridCol w:w="959"/>
        <w:gridCol w:w="13750"/>
        <w:gridCol w:w="1134"/>
      </w:tblGrid>
      <w:tr w:rsidR="001B26D8" w:rsidTr="00BE3D04">
        <w:tc>
          <w:tcPr>
            <w:tcW w:w="14709" w:type="dxa"/>
            <w:gridSpan w:val="2"/>
          </w:tcPr>
          <w:p w:rsidR="001B26D8" w:rsidRPr="00A87BA8" w:rsidRDefault="00153F06" w:rsidP="00153F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Pathway </w:t>
            </w:r>
            <w:r w:rsidR="001B26D8" w:rsidRPr="00A87BA8">
              <w:rPr>
                <w:b/>
                <w:sz w:val="40"/>
                <w:szCs w:val="40"/>
              </w:rPr>
              <w:t xml:space="preserve">for Collaborative </w:t>
            </w:r>
            <w:r w:rsidR="00F25455">
              <w:rPr>
                <w:b/>
                <w:sz w:val="40"/>
                <w:szCs w:val="40"/>
              </w:rPr>
              <w:t xml:space="preserve">Physical Activity </w:t>
            </w:r>
            <w:r w:rsidR="001B26D8" w:rsidRPr="00A87BA8">
              <w:rPr>
                <w:b/>
                <w:sz w:val="40"/>
                <w:szCs w:val="40"/>
              </w:rPr>
              <w:t>Services</w:t>
            </w:r>
          </w:p>
        </w:tc>
        <w:tc>
          <w:tcPr>
            <w:tcW w:w="1134" w:type="dxa"/>
            <w:vMerge w:val="restart"/>
            <w:textDirection w:val="btLr"/>
          </w:tcPr>
          <w:p w:rsidR="001B26D8" w:rsidRPr="00BE3D04" w:rsidRDefault="00BE3D04" w:rsidP="00485D2E">
            <w:pPr>
              <w:ind w:left="113" w:right="113"/>
              <w:jc w:val="center"/>
              <w:rPr>
                <w:b/>
              </w:rPr>
            </w:pPr>
            <w:r w:rsidRPr="00BE3D04">
              <w:rPr>
                <w:b/>
              </w:rPr>
              <w:t>PHYSICAL ACTIVITY REFERRAL STANDARDS DEFINITION</w:t>
            </w:r>
          </w:p>
        </w:tc>
      </w:tr>
      <w:tr w:rsidR="001B26D8" w:rsidTr="00AB3CA7">
        <w:trPr>
          <w:cantSplit/>
          <w:trHeight w:val="1837"/>
        </w:trPr>
        <w:tc>
          <w:tcPr>
            <w:tcW w:w="959" w:type="dxa"/>
            <w:textDirection w:val="btLr"/>
            <w:vAlign w:val="center"/>
          </w:tcPr>
          <w:p w:rsidR="001B26D8" w:rsidRPr="00B759DB" w:rsidRDefault="00B759DB" w:rsidP="00AB3C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59DB">
              <w:rPr>
                <w:b/>
                <w:sz w:val="28"/>
                <w:szCs w:val="28"/>
              </w:rPr>
              <w:t>COMMUNITY LEVEL</w:t>
            </w:r>
          </w:p>
        </w:tc>
        <w:tc>
          <w:tcPr>
            <w:tcW w:w="13750" w:type="dxa"/>
            <w:vAlign w:val="center"/>
          </w:tcPr>
          <w:p w:rsidR="001B26D8" w:rsidRDefault="00A51294" w:rsidP="003D1475">
            <w:r>
              <w:rPr>
                <w:noProof/>
                <w:lang w:eastAsia="en-GB"/>
              </w:rPr>
              <w:pict>
                <v:roundrect id="_x0000_s1070" style="position:absolute;margin-left:205.65pt;margin-top:2.8pt;width:162.8pt;height:88.15pt;z-index:251698176;mso-position-horizontal-relative:text;mso-position-vertical-relative:text" arcsize="10923f">
                  <v:textbox>
                    <w:txbxContent>
                      <w:p w:rsidR="002C03D1" w:rsidRPr="001F30FD" w:rsidRDefault="002C03D1" w:rsidP="007329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People</w:t>
                        </w:r>
                        <w:r w:rsidRPr="001F30FD">
                          <w:rPr>
                            <w:sz w:val="18"/>
                            <w:szCs w:val="18"/>
                          </w:rPr>
                          <w:t xml:space="preserve"> with complex rehabilitation needs who have </w:t>
                        </w:r>
                        <w:r>
                          <w:rPr>
                            <w:sz w:val="18"/>
                            <w:szCs w:val="18"/>
                          </w:rPr>
                          <w:t>been through components 1-3 and/or 4 but whose condition may have deteriorated or were not ready to engage with component 4 previously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en-GB"/>
              </w:rPr>
              <w:pict>
                <v:roundrect id="_x0000_s1069" style="position:absolute;margin-left:63.6pt;margin-top:7.05pt;width:121.15pt;height:80.3pt;z-index:251697152;mso-position-horizontal-relative:text;mso-position-vertical-relative:text" arcsize="10923f">
                  <v:textbox>
                    <w:txbxContent>
                      <w:p w:rsidR="002C03D1" w:rsidRPr="001F30FD" w:rsidRDefault="002C03D1" w:rsidP="001F30F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People</w:t>
                        </w:r>
                        <w:r w:rsidRPr="001F30FD">
                          <w:rPr>
                            <w:sz w:val="18"/>
                            <w:szCs w:val="18"/>
                          </w:rPr>
                          <w:t xml:space="preserve"> with complex rehabilitation needs who have not recently had an assessment or treatment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from healthcare staff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en-GB"/>
              </w:rPr>
              <w:pict>
                <v:roundrect id="_x0000_s1072" style="position:absolute;margin-left:524.75pt;margin-top:2.55pt;width:150.55pt;height:84.55pt;z-index:251700224;mso-position-horizontal-relative:text;mso-position-vertical-relative:text" arcsize="10923f">
                  <v:textbox>
                    <w:txbxContent>
                      <w:p w:rsidR="002C03D1" w:rsidRPr="001F30FD" w:rsidRDefault="002C03D1" w:rsidP="007329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People</w:t>
                        </w:r>
                        <w:r w:rsidRPr="001F30FD">
                          <w:rPr>
                            <w:sz w:val="18"/>
                            <w:szCs w:val="18"/>
                          </w:rPr>
                          <w:t xml:space="preserve"> with</w:t>
                        </w:r>
                        <w:r>
                          <w:rPr>
                            <w:sz w:val="18"/>
                            <w:szCs w:val="18"/>
                          </w:rPr>
                          <w:t>out</w:t>
                        </w:r>
                        <w:r w:rsidRPr="001F30FD">
                          <w:rPr>
                            <w:sz w:val="18"/>
                            <w:szCs w:val="18"/>
                          </w:rPr>
                          <w:t xml:space="preserve"> complex rehabilitation needs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but who require regular support to engage in activities to prevent or improve long term medical conditions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273pt;margin-top:79.65pt;width:111.2pt;height:136.3pt;flip:x;z-index:251699200;mso-position-horizontal:absolute;mso-position-horizontal-relative:text;mso-position-vertical:absolute;mso-position-vertical-relative:text" o:connectortype="straight">
                  <v:stroke dashstyle="dash"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67" type="#_x0000_t32" style="position:absolute;margin-left:384.95pt;margin-top:78.9pt;width:0;height:137.2pt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52" type="#_x0000_t32" style="position:absolute;margin-left:42.35pt;margin-top:79.5pt;width:0;height:38.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51" type="#_x0000_t32" style="position:absolute;margin-left:502.35pt;margin-top:79.8pt;width:2.5pt;height:212.9pt;z-index:251682816;mso-position-horizontal-relative:text;mso-position-vertical-relative:text" o:connectortype="straight">
                  <v:stroke endarrow="block"/>
                </v:shape>
              </w:pict>
            </w:r>
            <w:r w:rsidR="001B26D8">
              <w:rPr>
                <w:noProof/>
                <w:lang w:eastAsia="en-GB"/>
              </w:rPr>
              <w:drawing>
                <wp:inline distT="0" distB="0" distL="0" distR="0">
                  <wp:extent cx="1047750" cy="1047750"/>
                  <wp:effectExtent l="19050" t="0" r="0" b="0"/>
                  <wp:docPr id="3" name="Picture 1" descr="C:\Users\dlaid01\AppData\Local\Microsoft\Windows\INetCache\IE\KU4CBS5C\restroom-30498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aid01\AppData\Local\Microsoft\Windows\INetCache\IE\KU4CBS5C\restroom-30498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6D8">
              <w:t xml:space="preserve">                                                                                                        </w:t>
            </w:r>
            <w:r w:rsidR="003D1475" w:rsidRPr="003D1475">
              <w:rPr>
                <w:noProof/>
                <w:lang w:eastAsia="en-GB"/>
              </w:rPr>
              <w:drawing>
                <wp:inline distT="0" distB="0" distL="0" distR="0">
                  <wp:extent cx="1047750" cy="1047750"/>
                  <wp:effectExtent l="19050" t="0" r="0" b="0"/>
                  <wp:docPr id="5" name="Picture 1" descr="C:\Users\dlaid01\AppData\Local\Microsoft\Windows\INetCache\IE\KU4CBS5C\restroom-30498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aid01\AppData\Local\Microsoft\Windows\INetCache\IE\KU4CBS5C\restroom-30498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6D8">
              <w:t xml:space="preserve">              </w:t>
            </w:r>
            <w:r w:rsidR="001B26D8" w:rsidRPr="00083A03">
              <w:rPr>
                <w:noProof/>
                <w:lang w:eastAsia="en-GB"/>
              </w:rPr>
              <w:drawing>
                <wp:inline distT="0" distB="0" distL="0" distR="0">
                  <wp:extent cx="1047750" cy="1047750"/>
                  <wp:effectExtent l="19050" t="0" r="0" b="0"/>
                  <wp:docPr id="4" name="Picture 1" descr="C:\Users\dlaid01\AppData\Local\Microsoft\Windows\INetCache\IE\KU4CBS5C\restroom-30498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aid01\AppData\Local\Microsoft\Windows\INetCache\IE\KU4CBS5C\restroom-30498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B26D8" w:rsidRDefault="001B26D8"/>
        </w:tc>
      </w:tr>
      <w:tr w:rsidR="00AB3CA7" w:rsidTr="003D1475">
        <w:trPr>
          <w:cantSplit/>
          <w:trHeight w:val="1796"/>
        </w:trPr>
        <w:tc>
          <w:tcPr>
            <w:tcW w:w="959" w:type="dxa"/>
            <w:textDirection w:val="btLr"/>
            <w:vAlign w:val="center"/>
          </w:tcPr>
          <w:p w:rsidR="00AB3CA7" w:rsidRPr="00AB3CA7" w:rsidRDefault="00AB3CA7" w:rsidP="00131F0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CA7">
              <w:rPr>
                <w:b/>
                <w:sz w:val="28"/>
                <w:szCs w:val="28"/>
              </w:rPr>
              <w:t>HEALTHCARE</w:t>
            </w:r>
            <w:r w:rsidR="00131F0F">
              <w:rPr>
                <w:b/>
                <w:sz w:val="28"/>
                <w:szCs w:val="28"/>
              </w:rPr>
              <w:t xml:space="preserve"> SERVICES</w:t>
            </w:r>
            <w:r w:rsidRPr="00AB3C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50" w:type="dxa"/>
            <w:vAlign w:val="center"/>
          </w:tcPr>
          <w:p w:rsidR="00AB3CA7" w:rsidRDefault="002C03D1" w:rsidP="00AB3CA7">
            <w:r w:rsidRPr="002C03D1"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6981825</wp:posOffset>
                  </wp:positionH>
                  <wp:positionV relativeFrom="paragraph">
                    <wp:posOffset>734695</wp:posOffset>
                  </wp:positionV>
                  <wp:extent cx="1422400" cy="1083310"/>
                  <wp:effectExtent l="19050" t="0" r="6350" b="0"/>
                  <wp:wrapNone/>
                  <wp:docPr id="7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0065" cy="1446028"/>
                            <a:chOff x="25783954" y="23891358"/>
                            <a:chExt cx="1850065" cy="1446028"/>
                          </a:xfrm>
                        </a:grpSpPr>
                        <a:sp>
                          <a:nvSpPr>
                            <a:cNvPr id="311" name="Up Arrow Callout 310"/>
                            <a:cNvSpPr/>
                          </a:nvSpPr>
                          <a:spPr>
                            <a:xfrm>
                              <a:off x="25783954" y="23891358"/>
                              <a:ext cx="1850065" cy="1446028"/>
                            </a:xfrm>
                            <a:prstGeom prst="upArrowCallout">
                              <a:avLst>
                                <a:gd name="adj1" fmla="val 17647"/>
                                <a:gd name="adj2" fmla="val 16912"/>
                                <a:gd name="adj3" fmla="val 25000"/>
                                <a:gd name="adj4" fmla="val 64977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AN AGREED REVIEW OR RE-REFERRAL PROCESS IF REQUIRED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2C03D1"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36830</wp:posOffset>
                  </wp:positionV>
                  <wp:extent cx="925830" cy="1569720"/>
                  <wp:effectExtent l="19050" t="0" r="7620" b="0"/>
                  <wp:wrapNone/>
                  <wp:docPr id="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14131" cy="2020186"/>
                            <a:chOff x="22083822" y="22891898"/>
                            <a:chExt cx="1414131" cy="2020186"/>
                          </a:xfrm>
                        </a:grpSpPr>
                        <a:sp>
                          <a:nvSpPr>
                            <a:cNvPr id="308" name="Down Arrow Callout 307"/>
                            <a:cNvSpPr/>
                          </a:nvSpPr>
                          <a:spPr>
                            <a:xfrm>
                              <a:off x="22083822" y="22891898"/>
                              <a:ext cx="1414131" cy="2020186"/>
                            </a:xfrm>
                            <a:prstGeom prst="downArrowCallout">
                              <a:avLst>
                                <a:gd name="adj1" fmla="val 15977"/>
                                <a:gd name="adj2" fmla="val 18737"/>
                                <a:gd name="adj3" fmla="val 25000"/>
                                <a:gd name="adj4" fmla="val 77222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COMPLEX REHAB USING 1:1 0R SMALL GROUP INPUT &amp; HIGHLY SKILLED STAFF</a:t>
                                </a:r>
                              </a:p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 (SIMILAR TO COMPONENT 2) 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2C03D1"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36830</wp:posOffset>
                  </wp:positionV>
                  <wp:extent cx="1468755" cy="988060"/>
                  <wp:effectExtent l="0" t="0" r="0" b="0"/>
                  <wp:wrapNone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79675" cy="1212112"/>
                            <a:chOff x="17990288" y="22998223"/>
                            <a:chExt cx="2179675" cy="1212112"/>
                          </a:xfrm>
                        </a:grpSpPr>
                        <a:sp>
                          <a:nvSpPr>
                            <a:cNvPr id="306" name="Left Arrow Callout 305"/>
                            <a:cNvSpPr/>
                          </a:nvSpPr>
                          <a:spPr>
                            <a:xfrm>
                              <a:off x="17990288" y="22998223"/>
                              <a:ext cx="2179675" cy="1212112"/>
                            </a:xfrm>
                            <a:prstGeom prst="leftArrowCallout">
                              <a:avLst>
                                <a:gd name="adj1" fmla="val 16228"/>
                                <a:gd name="adj2" fmla="val 16228"/>
                                <a:gd name="adj3" fmla="val 25000"/>
                                <a:gd name="adj4" fmla="val 77542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ASSESSMENT AND SPECIALIST REHAB SERVICES WHICH NEED TO BE CARRIED OUT BY NHS SERVICES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51294">
              <w:rPr>
                <w:noProof/>
                <w:lang w:eastAsia="en-GB"/>
              </w:rPr>
              <w:pict>
                <v:shape id="_x0000_s1063" type="#_x0000_t32" style="position:absolute;margin-left:37.35pt;margin-top:59.3pt;width:.05pt;height:140.45pt;z-index:251692032;mso-position-horizontal-relative:text;mso-position-vertical-relative:text" o:connectortype="straight">
                  <v:stroke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shape id="_x0000_s1058" type="#_x0000_t32" style="position:absolute;margin-left:148.75pt;margin-top:59.75pt;width:2.5pt;height:236.5pt;z-index:251686912;mso-position-horizontal-relative:text;mso-position-vertical-relative:text" o:connectortype="straight">
                  <v:stroke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shape id="_x0000_s1059" type="#_x0000_t32" style="position:absolute;margin-left:82.85pt;margin-top:59.75pt;width:2.5pt;height:236.5pt;z-index:251687936;mso-position-horizontal-relative:text;mso-position-vertical-relative:text" o:connectortype="straight">
                  <v:stroke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3" type="#_x0000_t34" style="position:absolute;margin-left:432.65pt;margin-top:37.75pt;width:129.6pt;height:98.5pt;flip:y;z-index:251684864;mso-position-horizontal-relative:text;mso-position-vertical-relative:text" o:connectortype="elbow" adj="3966,63594,-86100">
                  <v:stroke dashstyle="dash"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shape id="_x0000_s1048" type="#_x0000_t34" style="position:absolute;margin-left:164.75pt;margin-top:78.8pt;width:83.05pt;height:45.9pt;rotation:90;flip:x;z-index:251680768;mso-position-horizontal-relative:text;mso-position-vertical-relative:text" o:connectortype="elbow" adj="21821,100682,-69521">
                  <v:stroke startarrow="block"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roundrect id="_x0000_s1036" style="position:absolute;margin-left:562.25pt;margin-top:25.95pt;width:84.4pt;height:33.8pt;z-index:251669504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  <w:r w:rsidR="00A51294">
              <w:rPr>
                <w:noProof/>
                <w:lang w:eastAsia="en-GB"/>
              </w:rPr>
              <w:pict>
                <v:shape id="_x0000_s1045" type="#_x0000_t32" style="position:absolute;margin-left:88.1pt;margin-top:43.95pt;width:18.5pt;height:0;z-index:251679744;mso-position-horizontal-relative:text;mso-position-vertical-relative:text" o:connectortype="straight">
                  <v:stroke endarrow="block"/>
                </v:shape>
              </w:pict>
            </w:r>
            <w:r w:rsidR="00A51294">
              <w:rPr>
                <w:noProof/>
                <w:lang w:eastAsia="en-GB"/>
              </w:rPr>
              <w:pict>
                <v:roundrect id="_x0000_s1030" style="position:absolute;margin-left:106.55pt;margin-top:26pt;width:84.4pt;height:33.8pt;z-index:251662336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="00A51294">
              <w:rPr>
                <w:noProof/>
                <w:lang w:eastAsia="en-GB"/>
              </w:rPr>
              <w:pict>
                <v:roundrect id="_x0000_s1026" style="position:absolute;margin-left:3.65pt;margin-top:26pt;width:84.4pt;height:33.8pt;z-index:251658240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>COMPONENT 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–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textDirection w:val="btLr"/>
            <w:vAlign w:val="center"/>
          </w:tcPr>
          <w:p w:rsidR="00AB3CA7" w:rsidRPr="0024694B" w:rsidRDefault="003D1475" w:rsidP="003D1475">
            <w:pPr>
              <w:ind w:left="113" w:right="113"/>
              <w:jc w:val="center"/>
              <w:rPr>
                <w:color w:val="BFBFBF" w:themeColor="background1" w:themeShade="BF"/>
              </w:rPr>
            </w:pPr>
            <w:r w:rsidRPr="0024694B">
              <w:rPr>
                <w:b/>
                <w:color w:val="BFBFBF" w:themeColor="background1" w:themeShade="BF"/>
                <w:sz w:val="40"/>
                <w:szCs w:val="40"/>
              </w:rPr>
              <w:t>TIER 1</w:t>
            </w:r>
          </w:p>
        </w:tc>
      </w:tr>
      <w:tr w:rsidR="00AB3CA7" w:rsidTr="003D1475">
        <w:trPr>
          <w:cantSplit/>
          <w:trHeight w:val="1694"/>
        </w:trPr>
        <w:tc>
          <w:tcPr>
            <w:tcW w:w="959" w:type="dxa"/>
            <w:vMerge w:val="restart"/>
            <w:textDirection w:val="btLr"/>
            <w:vAlign w:val="center"/>
          </w:tcPr>
          <w:p w:rsidR="00AB3CA7" w:rsidRPr="00AB3CA7" w:rsidRDefault="00A62809" w:rsidP="00AB3C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SKILLED </w:t>
            </w:r>
            <w:r w:rsidR="00AB3CA7" w:rsidRPr="00AB3CA7">
              <w:rPr>
                <w:b/>
                <w:sz w:val="28"/>
                <w:szCs w:val="28"/>
              </w:rPr>
              <w:t>THIRD SECTOR ORGANISATION / LEISURE PROVIDER</w:t>
            </w:r>
          </w:p>
        </w:tc>
        <w:tc>
          <w:tcPr>
            <w:tcW w:w="13750" w:type="dxa"/>
          </w:tcPr>
          <w:p w:rsidR="00AB3CA7" w:rsidRDefault="00A51294">
            <w:r>
              <w:rPr>
                <w:noProof/>
                <w:lang w:eastAsia="en-GB"/>
              </w:rPr>
              <w:pict>
                <v:shape id="_x0000_s1074" type="#_x0000_t32" style="position:absolute;margin-left:313.65pt;margin-top:52.95pt;width:34.6pt;height:0;z-index:251701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60" type="#_x0000_t32" style="position:absolute;margin-left:384.35pt;margin-top:67.55pt;width:2.5pt;height:137.05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54" type="#_x0000_t34" style="position:absolute;margin-left:427.4pt;margin-top:68.7pt;width:42.8pt;height:40.5pt;rotation:90;flip:x;z-index:251685888;mso-position-horizontal-relative:text;mso-position-vertical-relative:text" o:connectortype="elbow" adj=",166187,-258645">
                  <v:stroke endarrow="block"/>
                </v:shape>
              </w:pict>
            </w:r>
            <w:r>
              <w:rPr>
                <w:noProof/>
                <w:lang w:eastAsia="en-GB"/>
              </w:rPr>
              <w:pict>
                <v:roundrect id="_x0000_s1038" style="position:absolute;margin-left:348.25pt;margin-top:33.75pt;width:84.4pt;height:33.8pt;z-index:251672576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en-GB"/>
              </w:rPr>
              <w:pict>
                <v:roundrect id="_x0000_s1037" style="position:absolute;margin-left:229.25pt;margin-top:33.75pt;width:84.4pt;height:33.8pt;z-index:251671552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textDirection w:val="btLr"/>
            <w:vAlign w:val="center"/>
          </w:tcPr>
          <w:p w:rsidR="00AB3CA7" w:rsidRPr="00083A03" w:rsidRDefault="00083A03" w:rsidP="003D147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083A03">
              <w:rPr>
                <w:b/>
                <w:sz w:val="40"/>
                <w:szCs w:val="40"/>
              </w:rPr>
              <w:t>TIER 1</w:t>
            </w:r>
          </w:p>
        </w:tc>
      </w:tr>
      <w:tr w:rsidR="00AB3CA7" w:rsidTr="003D1475">
        <w:trPr>
          <w:cantSplit/>
          <w:trHeight w:val="1721"/>
        </w:trPr>
        <w:tc>
          <w:tcPr>
            <w:tcW w:w="959" w:type="dxa"/>
            <w:vMerge/>
          </w:tcPr>
          <w:p w:rsidR="00AB3CA7" w:rsidRDefault="00AB3CA7"/>
        </w:tc>
        <w:tc>
          <w:tcPr>
            <w:tcW w:w="13750" w:type="dxa"/>
          </w:tcPr>
          <w:p w:rsidR="00AB3CA7" w:rsidRDefault="002C03D1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9525</wp:posOffset>
                  </wp:positionV>
                  <wp:extent cx="1775460" cy="1046480"/>
                  <wp:effectExtent l="0" t="0" r="0" b="0"/>
                  <wp:wrapNone/>
                  <wp:docPr id="8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47507" cy="1439186"/>
                            <a:chOff x="25560670" y="25738372"/>
                            <a:chExt cx="2647507" cy="1439186"/>
                          </a:xfrm>
                        </a:grpSpPr>
                        <a:sp>
                          <a:nvSpPr>
                            <a:cNvPr id="309" name="Left Arrow Callout 308"/>
                            <a:cNvSpPr/>
                          </a:nvSpPr>
                          <a:spPr>
                            <a:xfrm>
                              <a:off x="25560670" y="25738372"/>
                              <a:ext cx="2647507" cy="1439186"/>
                            </a:xfrm>
                            <a:prstGeom prst="leftArrowCallout">
                              <a:avLst>
                                <a:gd name="adj1" fmla="val 18277"/>
                                <a:gd name="adj2" fmla="val 17437"/>
                                <a:gd name="adj3" fmla="val 25000"/>
                                <a:gd name="adj4" fmla="val 81962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SUPERVISED, OFTEN CLASS BASED PHYSICAL </a:t>
                                </a:r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ACTIVITY EITHER CONDITION SPECIFIC OR GENERIC FOR NON COMPLEX OR STABLE CONDITIONS DELIVERED BY SKILLED STAFF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pict>
                <v:roundrect id="_x0000_s1039" style="position:absolute;margin-left:455.45pt;margin-top:24.25pt;width:84.4pt;height:33.8pt;z-index:251673600;mso-position-horizontal-relative:text;mso-position-vertical-relative:text" arcsize="10923f">
                  <v:textbox>
                    <w:txbxContent>
                      <w:p w:rsidR="002C03D1" w:rsidRPr="00AB3CA7" w:rsidRDefault="002C03D1" w:rsidP="00AB3CA7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2C03D1"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-244475</wp:posOffset>
                  </wp:positionV>
                  <wp:extent cx="1492250" cy="1136650"/>
                  <wp:effectExtent l="19050" t="0" r="0" b="0"/>
                  <wp:wrapNone/>
                  <wp:docPr id="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52083" cy="1541722"/>
                            <a:chOff x="18436856" y="25550037"/>
                            <a:chExt cx="2052083" cy="1541722"/>
                          </a:xfrm>
                        </a:grpSpPr>
                        <a:sp>
                          <a:nvSpPr>
                            <a:cNvPr id="307" name="Up Arrow Callout 306"/>
                            <a:cNvSpPr/>
                          </a:nvSpPr>
                          <a:spPr>
                            <a:xfrm>
                              <a:off x="18436856" y="25550037"/>
                              <a:ext cx="2052083" cy="1541722"/>
                            </a:xfrm>
                            <a:prstGeom prst="upArrowCallout">
                              <a:avLst>
                                <a:gd name="adj1" fmla="val 12000"/>
                                <a:gd name="adj2" fmla="val 14333"/>
                                <a:gd name="adj3" fmla="val 18333"/>
                                <a:gd name="adj4" fmla="val 73644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AN AGREED HANDOVER AND SUPPORTIVE CPD PROCESS TO SUPPORT SHARED DECISION MAKING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51294">
              <w:rPr>
                <w:noProof/>
                <w:lang w:eastAsia="en-GB"/>
              </w:rPr>
              <w:pict>
                <v:roundrect id="_x0000_s1062" style="position:absolute;margin-left:-1.55pt;margin-top:24.25pt;width:84.4pt;height:33.8pt;z-index:251691008;mso-position-horizontal-relative:text;mso-position-vertical-relative:text" arcsize="10923f">
                  <v:textbox>
                    <w:txbxContent>
                      <w:p w:rsidR="002C03D1" w:rsidRPr="00AB3CA7" w:rsidRDefault="002C03D1" w:rsidP="00552D1A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="00A51294">
              <w:rPr>
                <w:noProof/>
                <w:lang w:eastAsia="en-GB"/>
              </w:rPr>
              <w:pict>
                <v:shape id="_x0000_s1061" type="#_x0000_t32" style="position:absolute;margin-left:504.85pt;margin-top:58.95pt;width:0;height:60.45pt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extDirection w:val="btLr"/>
            <w:vAlign w:val="center"/>
          </w:tcPr>
          <w:p w:rsidR="00AB3CA7" w:rsidRPr="00083A03" w:rsidRDefault="00083A03" w:rsidP="003D147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083A03">
              <w:rPr>
                <w:b/>
                <w:sz w:val="40"/>
                <w:szCs w:val="40"/>
              </w:rPr>
              <w:t>TIER 2</w:t>
            </w:r>
          </w:p>
        </w:tc>
      </w:tr>
      <w:tr w:rsidR="00AB3CA7" w:rsidTr="00131F0F">
        <w:trPr>
          <w:cantSplit/>
          <w:trHeight w:val="2317"/>
        </w:trPr>
        <w:tc>
          <w:tcPr>
            <w:tcW w:w="959" w:type="dxa"/>
            <w:textDirection w:val="btLr"/>
            <w:vAlign w:val="center"/>
          </w:tcPr>
          <w:p w:rsidR="00AB3CA7" w:rsidRPr="00AB3CA7" w:rsidRDefault="00131F0F" w:rsidP="001B26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SUPPORTED </w:t>
            </w:r>
            <w:r w:rsidR="00AB3CA7" w:rsidRPr="00AB3CA7">
              <w:rPr>
                <w:b/>
                <w:sz w:val="28"/>
                <w:szCs w:val="28"/>
              </w:rPr>
              <w:t>SELF MANAGEMENT</w:t>
            </w:r>
            <w:r w:rsidR="001B26D8">
              <w:rPr>
                <w:b/>
                <w:sz w:val="28"/>
                <w:szCs w:val="28"/>
              </w:rPr>
              <w:t xml:space="preserve"> / SIGNPOSTING</w:t>
            </w:r>
          </w:p>
        </w:tc>
        <w:tc>
          <w:tcPr>
            <w:tcW w:w="13750" w:type="dxa"/>
          </w:tcPr>
          <w:p w:rsidR="00AB3CA7" w:rsidRDefault="002C03D1">
            <w:r w:rsidRPr="002C03D1"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7012059</wp:posOffset>
                  </wp:positionH>
                  <wp:positionV relativeFrom="paragraph">
                    <wp:posOffset>237453</wp:posOffset>
                  </wp:positionV>
                  <wp:extent cx="1578474" cy="819260"/>
                  <wp:effectExtent l="0" t="0" r="2676" b="0"/>
                  <wp:wrapNone/>
                  <wp:docPr id="9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71061" cy="988828"/>
                            <a:chOff x="25656362" y="27580856"/>
                            <a:chExt cx="2371061" cy="988828"/>
                          </a:xfrm>
                        </a:grpSpPr>
                        <a:sp>
                          <a:nvSpPr>
                            <a:cNvPr id="310" name="Left Arrow Callout 309"/>
                            <a:cNvSpPr/>
                          </a:nvSpPr>
                          <a:spPr>
                            <a:xfrm>
                              <a:off x="25656362" y="27580856"/>
                              <a:ext cx="2371061" cy="988828"/>
                            </a:xfrm>
                            <a:prstGeom prst="leftArrowCallout">
                              <a:avLst>
                                <a:gd name="adj1" fmla="val 20877"/>
                                <a:gd name="adj2" fmla="val 22938"/>
                                <a:gd name="adj3" fmla="val 30155"/>
                                <a:gd name="adj4" fmla="val 81216"/>
                              </a:avLst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100000"/>
                                    <a:shade val="100000"/>
                                    <a:satMod val="130000"/>
                                    <a:alpha val="10000"/>
                                  </a:schemeClr>
                                </a:gs>
                                <a:gs pos="100000">
                                  <a:schemeClr val="accent1">
                                    <a:tint val="50000"/>
                                    <a:shade val="100000"/>
                                    <a:satMod val="350000"/>
                                  </a:schemeClr>
                                </a:gs>
                              </a:gsLst>
                            </a:gra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208795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4175918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626387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8351833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043979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2527751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4615707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6703666" algn="l" defTabSz="2087958" rtl="0" eaLnBrk="1" latinLnBrk="0" hangingPunct="1">
                                  <a:defRPr sz="8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1200" dirty="0" smtClean="0">
                                    <a:solidFill>
                                      <a:schemeClr val="tx1"/>
                                    </a:solidFill>
                                  </a:rPr>
                                  <a:t>GENERIC PHYSICAL ACTIVITY PROVISION WITH A CLEAR HEALTH IMPROVEMENT FOCUS</a:t>
                                </a:r>
                                <a:endParaRPr lang="en-GB" sz="12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51294">
              <w:rPr>
                <w:noProof/>
                <w:lang w:eastAsia="en-GB"/>
              </w:rPr>
              <w:pict>
                <v:roundrect id="_x0000_s1066" style="position:absolute;margin-left:75.25pt;margin-top:34.2pt;width:84.4pt;height:33.8pt;z-index:251695104;mso-position-horizontal-relative:text;mso-position-vertical-relative:text" arcsize="10923f">
                  <v:textbox>
                    <w:txbxContent>
                      <w:p w:rsidR="002C03D1" w:rsidRPr="00AB3CA7" w:rsidRDefault="002C03D1" w:rsidP="00BE3D04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 w:rsidR="00A51294">
              <w:rPr>
                <w:noProof/>
                <w:lang w:eastAsia="en-GB"/>
              </w:rPr>
              <w:pict>
                <v:roundrect id="_x0000_s1065" style="position:absolute;margin-left:344.15pt;margin-top:34.2pt;width:84.4pt;height:33.8pt;z-index:251694080;mso-position-horizontal-relative:text;mso-position-vertical-relative:text" arcsize="10923f">
                  <v:textbox>
                    <w:txbxContent>
                      <w:p w:rsidR="002C03D1" w:rsidRPr="00AB3CA7" w:rsidRDefault="002C03D1" w:rsidP="00BE3D04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 w:rsidR="00A51294">
              <w:rPr>
                <w:noProof/>
                <w:lang w:eastAsia="en-GB"/>
              </w:rPr>
              <w:pict>
                <v:roundrect id="_x0000_s1064" style="position:absolute;margin-left:469.05pt;margin-top:34.2pt;width:84.4pt;height:33.8pt;z-index:251693056;mso-position-horizontal-relative:text;mso-position-vertical-relative:text" arcsize="10923f">
                  <v:textbox>
                    <w:txbxContent>
                      <w:p w:rsidR="002C03D1" w:rsidRPr="00AB3CA7" w:rsidRDefault="002C03D1" w:rsidP="00BE3D04">
                        <w:pPr>
                          <w:spacing w:befor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B3CA7">
                          <w:rPr>
                            <w:b/>
                            <w:sz w:val="20"/>
                            <w:szCs w:val="20"/>
                          </w:rPr>
                          <w:t xml:space="preserve">COMPONENT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textDirection w:val="btLr"/>
            <w:vAlign w:val="center"/>
          </w:tcPr>
          <w:p w:rsidR="00AB3CA7" w:rsidRPr="00083A03" w:rsidRDefault="00083A03" w:rsidP="003D147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083A03">
              <w:rPr>
                <w:b/>
                <w:sz w:val="40"/>
                <w:szCs w:val="40"/>
              </w:rPr>
              <w:t>TIER 3 &amp; 4</w:t>
            </w:r>
          </w:p>
        </w:tc>
      </w:tr>
    </w:tbl>
    <w:p w:rsidR="00541092" w:rsidRDefault="00541092"/>
    <w:p w:rsidR="004E7C00" w:rsidRDefault="004E7C00" w:rsidP="007675D1">
      <w:pPr>
        <w:jc w:val="center"/>
        <w:rPr>
          <w:b/>
          <w:sz w:val="24"/>
          <w:szCs w:val="24"/>
          <w:u w:val="single"/>
        </w:rPr>
      </w:pPr>
      <w:r w:rsidRPr="007675D1">
        <w:rPr>
          <w:b/>
          <w:sz w:val="24"/>
          <w:szCs w:val="24"/>
          <w:u w:val="single"/>
        </w:rPr>
        <w:lastRenderedPageBreak/>
        <w:t>GLOSSARY</w:t>
      </w:r>
    </w:p>
    <w:p w:rsidR="00B9147D" w:rsidRPr="00552D1A" w:rsidRDefault="00B9147D" w:rsidP="00B914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TIER</w:t>
      </w:r>
      <w:r w:rsidRPr="00552D1A">
        <w:rPr>
          <w:b/>
          <w:sz w:val="24"/>
          <w:szCs w:val="24"/>
        </w:rPr>
        <w:t xml:space="preserve"> 1: </w:t>
      </w:r>
      <w:r w:rsidR="00B759DB">
        <w:rPr>
          <w:b/>
          <w:sz w:val="24"/>
          <w:szCs w:val="24"/>
        </w:rPr>
        <w:t>A</w:t>
      </w:r>
      <w:r w:rsidRPr="00552D1A">
        <w:rPr>
          <w:b/>
          <w:sz w:val="24"/>
          <w:szCs w:val="24"/>
        </w:rPr>
        <w:t xml:space="preserve"> pathway </w:t>
      </w:r>
      <w:r w:rsidR="00B759DB">
        <w:rPr>
          <w:b/>
          <w:sz w:val="24"/>
          <w:szCs w:val="24"/>
        </w:rPr>
        <w:t xml:space="preserve">of </w:t>
      </w:r>
      <w:r w:rsidR="00D1047F">
        <w:rPr>
          <w:b/>
          <w:sz w:val="24"/>
          <w:szCs w:val="24"/>
        </w:rPr>
        <w:t>physical activity</w:t>
      </w:r>
      <w:r w:rsidRPr="00552D1A">
        <w:rPr>
          <w:b/>
          <w:sz w:val="24"/>
          <w:szCs w:val="24"/>
        </w:rPr>
        <w:t xml:space="preserve"> rehabilitation </w:t>
      </w:r>
      <w:r w:rsidR="00396802">
        <w:rPr>
          <w:b/>
          <w:sz w:val="24"/>
          <w:szCs w:val="24"/>
        </w:rPr>
        <w:t xml:space="preserve">is </w:t>
      </w:r>
      <w:r w:rsidRPr="00552D1A">
        <w:rPr>
          <w:b/>
          <w:sz w:val="24"/>
          <w:szCs w:val="24"/>
        </w:rPr>
        <w:t xml:space="preserve">for a person with </w:t>
      </w:r>
      <w:r w:rsidR="00B759DB">
        <w:rPr>
          <w:b/>
          <w:sz w:val="24"/>
          <w:szCs w:val="24"/>
        </w:rPr>
        <w:t>one or more</w:t>
      </w:r>
      <w:r w:rsidRPr="00552D1A">
        <w:rPr>
          <w:b/>
          <w:sz w:val="24"/>
          <w:szCs w:val="24"/>
        </w:rPr>
        <w:t xml:space="preserve"> long-term condition</w:t>
      </w:r>
      <w:r w:rsidR="00B759DB">
        <w:rPr>
          <w:b/>
          <w:sz w:val="24"/>
          <w:szCs w:val="24"/>
        </w:rPr>
        <w:t>s which may be complex</w:t>
      </w:r>
      <w:r w:rsidR="00A23152">
        <w:rPr>
          <w:b/>
          <w:sz w:val="24"/>
          <w:szCs w:val="24"/>
        </w:rPr>
        <w:t>, very debilitating</w:t>
      </w:r>
      <w:r w:rsidR="00B759DB">
        <w:rPr>
          <w:b/>
          <w:sz w:val="24"/>
          <w:szCs w:val="24"/>
        </w:rPr>
        <w:t xml:space="preserve"> or variable in nature</w:t>
      </w:r>
      <w:r w:rsidRPr="00552D1A">
        <w:rPr>
          <w:b/>
          <w:sz w:val="24"/>
          <w:szCs w:val="24"/>
        </w:rPr>
        <w:t>, who requires a fully supported</w:t>
      </w:r>
      <w:r w:rsidR="00396802">
        <w:rPr>
          <w:b/>
          <w:sz w:val="24"/>
          <w:szCs w:val="24"/>
        </w:rPr>
        <w:t>,</w:t>
      </w:r>
      <w:r w:rsidRPr="00552D1A">
        <w:rPr>
          <w:b/>
          <w:sz w:val="24"/>
          <w:szCs w:val="24"/>
        </w:rPr>
        <w:t xml:space="preserve"> </w:t>
      </w:r>
      <w:r w:rsidR="00396802">
        <w:rPr>
          <w:b/>
          <w:sz w:val="24"/>
          <w:szCs w:val="24"/>
        </w:rPr>
        <w:t xml:space="preserve">individualised </w:t>
      </w:r>
      <w:r w:rsidRPr="00552D1A">
        <w:rPr>
          <w:b/>
          <w:sz w:val="24"/>
          <w:szCs w:val="24"/>
        </w:rPr>
        <w:t>physical activity intervention with explicit health behaviour change element</w:t>
      </w:r>
      <w:r w:rsidR="00396802">
        <w:rPr>
          <w:b/>
          <w:sz w:val="24"/>
          <w:szCs w:val="24"/>
        </w:rPr>
        <w:t>s</w:t>
      </w:r>
      <w:r w:rsidRPr="00552D1A">
        <w:rPr>
          <w:b/>
          <w:sz w:val="24"/>
          <w:szCs w:val="24"/>
        </w:rPr>
        <w:t xml:space="preserve">. </w:t>
      </w:r>
      <w:proofErr w:type="gramStart"/>
      <w:r w:rsidRPr="00552D1A">
        <w:rPr>
          <w:b/>
          <w:sz w:val="24"/>
          <w:szCs w:val="24"/>
        </w:rPr>
        <w:t>Provided by / with expert clinical staff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B9147D" w:rsidRPr="00552D1A" w:rsidRDefault="00B9147D" w:rsidP="00B9147D">
      <w:pPr>
        <w:jc w:val="both"/>
        <w:rPr>
          <w:b/>
          <w:sz w:val="24"/>
          <w:szCs w:val="24"/>
        </w:rPr>
      </w:pPr>
      <w:r w:rsidRPr="00552D1A">
        <w:rPr>
          <w:b/>
          <w:sz w:val="24"/>
          <w:szCs w:val="24"/>
        </w:rPr>
        <w:t xml:space="preserve">Tier 2: Physical activity referral is for a person who is inactive with, or at risk of, a long-term </w:t>
      </w:r>
      <w:r w:rsidR="00D1047F">
        <w:rPr>
          <w:b/>
          <w:sz w:val="24"/>
          <w:szCs w:val="24"/>
        </w:rPr>
        <w:t xml:space="preserve">health </w:t>
      </w:r>
      <w:r w:rsidRPr="00552D1A">
        <w:rPr>
          <w:b/>
          <w:sz w:val="24"/>
          <w:szCs w:val="24"/>
        </w:rPr>
        <w:t>condition, who requires support to participate in physical activity with an explic</w:t>
      </w:r>
      <w:r w:rsidR="00396802">
        <w:rPr>
          <w:b/>
          <w:sz w:val="24"/>
          <w:szCs w:val="24"/>
        </w:rPr>
        <w:t>it</w:t>
      </w:r>
      <w:r w:rsidRPr="00552D1A">
        <w:rPr>
          <w:b/>
          <w:sz w:val="24"/>
          <w:szCs w:val="24"/>
        </w:rPr>
        <w:t xml:space="preserve"> health behaviour change element. Provided by qualified staff with appropriate knowledge and skills set out in Scotland’s physical activity referral standards</w:t>
      </w:r>
    </w:p>
    <w:p w:rsidR="00B9147D" w:rsidRPr="00552D1A" w:rsidRDefault="00B9147D" w:rsidP="00B9147D">
      <w:pPr>
        <w:jc w:val="both"/>
        <w:rPr>
          <w:b/>
          <w:sz w:val="24"/>
          <w:szCs w:val="24"/>
        </w:rPr>
      </w:pPr>
      <w:r w:rsidRPr="00552D1A">
        <w:rPr>
          <w:b/>
          <w:sz w:val="24"/>
          <w:szCs w:val="24"/>
        </w:rPr>
        <w:t xml:space="preserve">Tier 3: Community physical activity pathway </w:t>
      </w:r>
      <w:proofErr w:type="gramStart"/>
      <w:r w:rsidRPr="00552D1A">
        <w:rPr>
          <w:b/>
          <w:sz w:val="24"/>
          <w:szCs w:val="24"/>
        </w:rPr>
        <w:t>A</w:t>
      </w:r>
      <w:proofErr w:type="gramEnd"/>
      <w:r w:rsidRPr="00552D1A">
        <w:rPr>
          <w:b/>
          <w:sz w:val="24"/>
          <w:szCs w:val="24"/>
        </w:rPr>
        <w:t xml:space="preserve"> community physical activity pathway is for a person who is inactive with a long term condition or at risk of, who requires little to no support to participate in physical activity. </w:t>
      </w:r>
      <w:proofErr w:type="gramStart"/>
      <w:r w:rsidRPr="00552D1A">
        <w:rPr>
          <w:b/>
          <w:sz w:val="24"/>
          <w:szCs w:val="24"/>
        </w:rPr>
        <w:t>Provided by appropriately skilled staff / volunteers who are able to deliver a physical activity programme to help in the management, treatment and prevention of ill health.</w:t>
      </w:r>
      <w:proofErr w:type="gramEnd"/>
    </w:p>
    <w:p w:rsidR="00B9147D" w:rsidRDefault="00B9147D" w:rsidP="00B9147D">
      <w:pPr>
        <w:jc w:val="both"/>
        <w:rPr>
          <w:b/>
          <w:sz w:val="24"/>
          <w:szCs w:val="24"/>
        </w:rPr>
      </w:pPr>
      <w:r w:rsidRPr="00552D1A">
        <w:rPr>
          <w:b/>
          <w:sz w:val="24"/>
          <w:szCs w:val="24"/>
        </w:rPr>
        <w:t>Tier 4: Signposted physical activity opportunity Signposted physical activity opportunity is for a person who is inactive but otherwise healthy, who requires some encouragement to be active/more active. Staff / volunteers will have a variety of knowledge and skills and should have an awareness of health behaviour change and ability to deliver very brief advice to encourage and enable someone to become / remain active.</w:t>
      </w:r>
      <w:r w:rsidR="00682229">
        <w:rPr>
          <w:b/>
          <w:sz w:val="24"/>
          <w:szCs w:val="24"/>
        </w:rPr>
        <w:t xml:space="preserve"> </w:t>
      </w:r>
    </w:p>
    <w:p w:rsidR="00B9147D" w:rsidRPr="007675D1" w:rsidRDefault="00B9147D" w:rsidP="007675D1">
      <w:pPr>
        <w:jc w:val="center"/>
        <w:rPr>
          <w:b/>
          <w:sz w:val="24"/>
          <w:szCs w:val="24"/>
          <w:u w:val="single"/>
        </w:rPr>
      </w:pPr>
    </w:p>
    <w:p w:rsidR="004E7C00" w:rsidRDefault="004E7C00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 1: A clinical assessment carried out by a qualified health professional</w:t>
      </w:r>
      <w:r w:rsidR="00682229">
        <w:rPr>
          <w:b/>
          <w:sz w:val="24"/>
          <w:szCs w:val="24"/>
        </w:rPr>
        <w:t xml:space="preserve"> </w:t>
      </w:r>
    </w:p>
    <w:p w:rsidR="004E7C00" w:rsidRDefault="004E7C00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 2: Specialist rehabilitation requiring the support or direct input of a qualified health professional</w:t>
      </w:r>
      <w:r w:rsidR="007675D1">
        <w:rPr>
          <w:b/>
          <w:sz w:val="24"/>
          <w:szCs w:val="24"/>
        </w:rPr>
        <w:t xml:space="preserve"> </w:t>
      </w:r>
    </w:p>
    <w:p w:rsidR="003D1475" w:rsidRDefault="004E7C00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 3: Handover process between qualified health services and third sector</w:t>
      </w:r>
      <w:r w:rsidR="007675D1">
        <w:rPr>
          <w:b/>
          <w:sz w:val="24"/>
          <w:szCs w:val="24"/>
        </w:rPr>
        <w:t>/ leisure</w:t>
      </w:r>
      <w:r>
        <w:rPr>
          <w:b/>
          <w:sz w:val="24"/>
          <w:szCs w:val="24"/>
        </w:rPr>
        <w:t xml:space="preserve"> services, this may take the form of an agreed referral form with a minimum agreed set of information or joint working with the both sets of staff and the patient depending on patient complexity. </w:t>
      </w:r>
      <w:r w:rsidR="00B9147D">
        <w:rPr>
          <w:b/>
          <w:sz w:val="24"/>
          <w:szCs w:val="24"/>
        </w:rPr>
        <w:t>Component 3 also incorporates the CPD/Training support required to adapt the knowledge and skills of the 3</w:t>
      </w:r>
      <w:r w:rsidR="00B9147D" w:rsidRPr="00B9147D">
        <w:rPr>
          <w:b/>
          <w:sz w:val="24"/>
          <w:szCs w:val="24"/>
          <w:vertAlign w:val="superscript"/>
        </w:rPr>
        <w:t>rd</w:t>
      </w:r>
      <w:r w:rsidR="00B9147D">
        <w:rPr>
          <w:b/>
          <w:sz w:val="24"/>
          <w:szCs w:val="24"/>
        </w:rPr>
        <w:t xml:space="preserve"> sector/leisure service staff to a cohort of unwell/unhealthy </w:t>
      </w:r>
      <w:r w:rsidR="001F30FD">
        <w:rPr>
          <w:b/>
          <w:sz w:val="24"/>
          <w:szCs w:val="24"/>
        </w:rPr>
        <w:t xml:space="preserve">NHS </w:t>
      </w:r>
      <w:r w:rsidR="00B9147D">
        <w:rPr>
          <w:b/>
          <w:sz w:val="24"/>
          <w:szCs w:val="24"/>
        </w:rPr>
        <w:t xml:space="preserve">clients. </w:t>
      </w:r>
      <w:r w:rsidR="00131F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rd sector staff should be able to request joint working if the complexity of the patient appears to be outside of their </w:t>
      </w:r>
      <w:r w:rsidR="007675D1">
        <w:rPr>
          <w:b/>
          <w:sz w:val="24"/>
          <w:szCs w:val="24"/>
        </w:rPr>
        <w:t>current level of experience</w:t>
      </w:r>
      <w:r w:rsidR="00B9147D">
        <w:rPr>
          <w:b/>
          <w:sz w:val="24"/>
          <w:szCs w:val="24"/>
        </w:rPr>
        <w:t xml:space="preserve"> as part of a collaborative CPD process</w:t>
      </w:r>
      <w:r>
        <w:rPr>
          <w:b/>
          <w:sz w:val="24"/>
          <w:szCs w:val="24"/>
        </w:rPr>
        <w:t xml:space="preserve">. </w:t>
      </w:r>
    </w:p>
    <w:p w:rsidR="003D1475" w:rsidRDefault="00AC5708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</w:t>
      </w:r>
      <w:r w:rsidR="003D1475">
        <w:rPr>
          <w:b/>
          <w:sz w:val="24"/>
          <w:szCs w:val="24"/>
        </w:rPr>
        <w:t xml:space="preserve"> 4: As per Tier 1 descriptor, may be delivered as 1:1 individualised </w:t>
      </w:r>
      <w:r w:rsidR="00D1047F">
        <w:rPr>
          <w:b/>
          <w:sz w:val="24"/>
          <w:szCs w:val="24"/>
        </w:rPr>
        <w:t>physical activity</w:t>
      </w:r>
      <w:r w:rsidR="003D1475">
        <w:rPr>
          <w:b/>
          <w:sz w:val="24"/>
          <w:szCs w:val="24"/>
        </w:rPr>
        <w:t xml:space="preserve"> programme</w:t>
      </w:r>
      <w:r w:rsidR="004E7C00">
        <w:rPr>
          <w:b/>
          <w:sz w:val="24"/>
          <w:szCs w:val="24"/>
        </w:rPr>
        <w:t xml:space="preserve"> </w:t>
      </w:r>
      <w:r w:rsidR="003D1475">
        <w:rPr>
          <w:b/>
          <w:sz w:val="24"/>
          <w:szCs w:val="24"/>
        </w:rPr>
        <w:t>or small group activity supervised closely by suitably qualified exercise professional</w:t>
      </w:r>
      <w:r w:rsidR="007675D1">
        <w:rPr>
          <w:b/>
          <w:sz w:val="24"/>
          <w:szCs w:val="24"/>
        </w:rPr>
        <w:t xml:space="preserve"> (See training requirement guide)</w:t>
      </w:r>
      <w:r w:rsidR="003D1475">
        <w:rPr>
          <w:b/>
          <w:sz w:val="24"/>
          <w:szCs w:val="24"/>
        </w:rPr>
        <w:t>.</w:t>
      </w:r>
      <w:r w:rsidR="00682229">
        <w:rPr>
          <w:b/>
          <w:sz w:val="24"/>
          <w:szCs w:val="24"/>
        </w:rPr>
        <w:t xml:space="preserve"> Component 4 may include statutory rehabilitation services which if not delivered by 3</w:t>
      </w:r>
      <w:r w:rsidR="00682229" w:rsidRPr="00682229">
        <w:rPr>
          <w:b/>
          <w:sz w:val="24"/>
          <w:szCs w:val="24"/>
          <w:vertAlign w:val="superscript"/>
        </w:rPr>
        <w:t>rd</w:t>
      </w:r>
      <w:r w:rsidR="00682229">
        <w:rPr>
          <w:b/>
          <w:sz w:val="24"/>
          <w:szCs w:val="24"/>
        </w:rPr>
        <w:t xml:space="preserve"> sector/leisure services would be required to be delivered as a component 2 service.</w:t>
      </w:r>
    </w:p>
    <w:p w:rsidR="003D1475" w:rsidRDefault="00AC5708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COMPONENT</w:t>
      </w:r>
      <w:r w:rsidR="003D1475">
        <w:rPr>
          <w:b/>
          <w:sz w:val="24"/>
          <w:szCs w:val="24"/>
        </w:rPr>
        <w:t xml:space="preserve"> 5: As per Tier 2 descriptor, may be delivered via a generic or condition specific group sessions delivered by suitably qualified individuals</w:t>
      </w:r>
      <w:r w:rsidR="007675D1">
        <w:rPr>
          <w:b/>
          <w:sz w:val="24"/>
          <w:szCs w:val="24"/>
        </w:rPr>
        <w:t xml:space="preserve"> (See training requirement guide)</w:t>
      </w:r>
      <w:r w:rsidR="003D1475">
        <w:rPr>
          <w:b/>
          <w:sz w:val="24"/>
          <w:szCs w:val="24"/>
        </w:rPr>
        <w:t>.</w:t>
      </w:r>
    </w:p>
    <w:p w:rsidR="00BE3D04" w:rsidRDefault="00AC5708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</w:t>
      </w:r>
      <w:r w:rsidR="003D1475">
        <w:rPr>
          <w:b/>
          <w:sz w:val="24"/>
          <w:szCs w:val="24"/>
        </w:rPr>
        <w:t xml:space="preserve"> 6: A planned review by qualified healthcare staff or the option to refer back to qualified healthcare staff should component 4 or 5 not deliver the expected improvement or if </w:t>
      </w:r>
      <w:r w:rsidR="00485D2E">
        <w:rPr>
          <w:b/>
          <w:sz w:val="24"/>
          <w:szCs w:val="24"/>
        </w:rPr>
        <w:t>deterioration</w:t>
      </w:r>
      <w:r w:rsidR="003D1475">
        <w:rPr>
          <w:b/>
          <w:sz w:val="24"/>
          <w:szCs w:val="24"/>
        </w:rPr>
        <w:t xml:space="preserve"> in condition is noted. Component 6 is unlikely to be required for those progressing to Tier 3 &amp; 4 </w:t>
      </w:r>
      <w:r w:rsidR="004E7C00">
        <w:rPr>
          <w:b/>
          <w:sz w:val="24"/>
          <w:szCs w:val="24"/>
        </w:rPr>
        <w:t xml:space="preserve"> </w:t>
      </w:r>
    </w:p>
    <w:p w:rsidR="004E7C00" w:rsidRDefault="00AC5708" w:rsidP="0055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COMPONENT </w:t>
      </w:r>
      <w:r w:rsidR="00BE3D04">
        <w:rPr>
          <w:b/>
          <w:sz w:val="24"/>
          <w:szCs w:val="24"/>
        </w:rPr>
        <w:t xml:space="preserve">7: As per Tier 3&amp;4 descriptor utilising available community assets and supported by suitably </w:t>
      </w:r>
      <w:r w:rsidR="00131F0F">
        <w:rPr>
          <w:b/>
          <w:sz w:val="24"/>
          <w:szCs w:val="24"/>
        </w:rPr>
        <w:t>trained</w:t>
      </w:r>
      <w:r w:rsidR="00BE3D04">
        <w:rPr>
          <w:b/>
          <w:sz w:val="24"/>
          <w:szCs w:val="24"/>
        </w:rPr>
        <w:t xml:space="preserve"> 3</w:t>
      </w:r>
      <w:r w:rsidR="00BE3D04" w:rsidRPr="00BE3D04">
        <w:rPr>
          <w:b/>
          <w:sz w:val="24"/>
          <w:szCs w:val="24"/>
          <w:vertAlign w:val="superscript"/>
        </w:rPr>
        <w:t>rd</w:t>
      </w:r>
      <w:r w:rsidR="00BE3D04">
        <w:rPr>
          <w:b/>
          <w:sz w:val="24"/>
          <w:szCs w:val="24"/>
        </w:rPr>
        <w:t xml:space="preserve"> sector/volunteer staff </w:t>
      </w:r>
      <w:r w:rsidR="007675D1">
        <w:rPr>
          <w:b/>
          <w:sz w:val="24"/>
          <w:szCs w:val="24"/>
        </w:rPr>
        <w:t>(See training requirement guide).</w:t>
      </w:r>
      <w:r w:rsidR="004E7C00">
        <w:rPr>
          <w:b/>
          <w:sz w:val="24"/>
          <w:szCs w:val="24"/>
        </w:rPr>
        <w:t xml:space="preserve"> </w:t>
      </w:r>
    </w:p>
    <w:p w:rsidR="00D85418" w:rsidRDefault="00D85418" w:rsidP="00D854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EXCLUSION CRITERIA FOR COMPONENTS 4, 5 AND 7</w:t>
      </w: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D85418" w:rsidTr="00B759DB">
        <w:tc>
          <w:tcPr>
            <w:tcW w:w="7807" w:type="dxa"/>
          </w:tcPr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 xml:space="preserve">Resting heart rate &gt; 100 </w:t>
            </w:r>
            <w:proofErr w:type="spellStart"/>
            <w:r>
              <w:t>bpm</w:t>
            </w:r>
            <w:proofErr w:type="spellEnd"/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Systolic blood pressure &gt; 180mmHg or diastolic blood pressure&gt;100mmHg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Recent electrocardiogram changes suggesting recent myocardial infarction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Febrile illness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 xml:space="preserve">Significant drop in blood pressure during </w:t>
            </w:r>
            <w:r w:rsidR="00D1047F">
              <w:t>physical activity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Pain, dizziness or excessive breathlessness on exertion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Uncontrolled arrhythmia, hypertension and/or diabetes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Acute infections</w:t>
            </w:r>
          </w:p>
        </w:tc>
        <w:tc>
          <w:tcPr>
            <w:tcW w:w="7807" w:type="dxa"/>
          </w:tcPr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Acute aortic dissection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 xml:space="preserve">Acute </w:t>
            </w:r>
            <w:proofErr w:type="spellStart"/>
            <w:r>
              <w:t>myocarditis</w:t>
            </w:r>
            <w:proofErr w:type="spellEnd"/>
            <w:r>
              <w:t xml:space="preserve"> or </w:t>
            </w:r>
            <w:proofErr w:type="spellStart"/>
            <w:r>
              <w:t>pericarditis</w:t>
            </w:r>
            <w:proofErr w:type="spellEnd"/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Acute pulmonary embolus or pulmonary infarction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Suspected or known dissecting aneurysm</w:t>
            </w:r>
          </w:p>
          <w:p w:rsidR="00D85418" w:rsidRPr="00D85418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Unstable angina</w:t>
            </w:r>
          </w:p>
          <w:p w:rsidR="00D85418" w:rsidRPr="00D85418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Uncontrolled visual or vestibular disturbances</w:t>
            </w:r>
          </w:p>
          <w:p w:rsidR="00D85418" w:rsidRPr="004611CB" w:rsidRDefault="00D85418" w:rsidP="00B759D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t>Recent injurious fall without healthcare assessment</w:t>
            </w:r>
          </w:p>
        </w:tc>
      </w:tr>
    </w:tbl>
    <w:p w:rsidR="00485D2E" w:rsidRDefault="00485D2E" w:rsidP="00485D2E">
      <w:pPr>
        <w:jc w:val="center"/>
        <w:rPr>
          <w:b/>
          <w:sz w:val="24"/>
          <w:szCs w:val="24"/>
          <w:u w:val="single"/>
        </w:rPr>
      </w:pPr>
    </w:p>
    <w:p w:rsidR="00485D2E" w:rsidRDefault="00485D2E" w:rsidP="00485D2E">
      <w:pPr>
        <w:jc w:val="center"/>
        <w:rPr>
          <w:b/>
          <w:sz w:val="24"/>
          <w:szCs w:val="24"/>
          <w:u w:val="single"/>
        </w:rPr>
      </w:pPr>
      <w:r w:rsidRPr="00485D2E">
        <w:rPr>
          <w:b/>
          <w:sz w:val="24"/>
          <w:szCs w:val="24"/>
          <w:u w:val="single"/>
        </w:rPr>
        <w:t>TRAINING REQUIREMENTS</w:t>
      </w:r>
      <w:r>
        <w:rPr>
          <w:b/>
          <w:sz w:val="24"/>
          <w:szCs w:val="24"/>
          <w:u w:val="single"/>
        </w:rPr>
        <w:t xml:space="preserve"> GUIDE</w:t>
      </w:r>
    </w:p>
    <w:tbl>
      <w:tblPr>
        <w:tblStyle w:val="TableGrid"/>
        <w:tblW w:w="0" w:type="auto"/>
        <w:tblLook w:val="04A0"/>
      </w:tblPr>
      <w:tblGrid>
        <w:gridCol w:w="1809"/>
        <w:gridCol w:w="4395"/>
        <w:gridCol w:w="4394"/>
        <w:gridCol w:w="5016"/>
      </w:tblGrid>
      <w:tr w:rsidR="00E85CF2" w:rsidTr="008B3C55">
        <w:tc>
          <w:tcPr>
            <w:tcW w:w="1809" w:type="dxa"/>
          </w:tcPr>
          <w:p w:rsidR="00485D2E" w:rsidRPr="00543960" w:rsidRDefault="00543960" w:rsidP="00485D2E">
            <w:pPr>
              <w:jc w:val="center"/>
              <w:rPr>
                <w:b/>
                <w:sz w:val="24"/>
                <w:szCs w:val="24"/>
              </w:rPr>
            </w:pPr>
            <w:r w:rsidRPr="00543960">
              <w:rPr>
                <w:b/>
                <w:sz w:val="24"/>
                <w:szCs w:val="24"/>
              </w:rPr>
              <w:t>SKILL LEVEL</w:t>
            </w:r>
          </w:p>
        </w:tc>
        <w:tc>
          <w:tcPr>
            <w:tcW w:w="4395" w:type="dxa"/>
          </w:tcPr>
          <w:p w:rsidR="00485D2E" w:rsidRPr="00543960" w:rsidRDefault="00543960" w:rsidP="00543960">
            <w:pPr>
              <w:jc w:val="center"/>
              <w:rPr>
                <w:b/>
                <w:sz w:val="24"/>
                <w:szCs w:val="24"/>
              </w:rPr>
            </w:pPr>
            <w:r w:rsidRPr="00543960">
              <w:rPr>
                <w:b/>
                <w:sz w:val="24"/>
                <w:szCs w:val="24"/>
              </w:rPr>
              <w:t>KNOWLEDGE REQUIRED</w:t>
            </w:r>
          </w:p>
        </w:tc>
        <w:tc>
          <w:tcPr>
            <w:tcW w:w="4394" w:type="dxa"/>
          </w:tcPr>
          <w:p w:rsidR="00485D2E" w:rsidRPr="00543960" w:rsidRDefault="00543960" w:rsidP="00485D2E">
            <w:pPr>
              <w:jc w:val="center"/>
              <w:rPr>
                <w:b/>
                <w:sz w:val="24"/>
                <w:szCs w:val="24"/>
              </w:rPr>
            </w:pPr>
            <w:r w:rsidRPr="00543960">
              <w:rPr>
                <w:b/>
                <w:sz w:val="24"/>
                <w:szCs w:val="24"/>
              </w:rPr>
              <w:t>SKILLS REQUIRED</w:t>
            </w:r>
          </w:p>
        </w:tc>
        <w:tc>
          <w:tcPr>
            <w:tcW w:w="5016" w:type="dxa"/>
          </w:tcPr>
          <w:p w:rsidR="00485D2E" w:rsidRPr="00543960" w:rsidRDefault="00543960" w:rsidP="00485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SOURCES OF LEARNING</w:t>
            </w:r>
          </w:p>
        </w:tc>
      </w:tr>
      <w:tr w:rsidR="00E85CF2" w:rsidTr="008B3C55">
        <w:trPr>
          <w:cantSplit/>
          <w:trHeight w:val="1134"/>
        </w:trPr>
        <w:tc>
          <w:tcPr>
            <w:tcW w:w="1809" w:type="dxa"/>
            <w:vAlign w:val="center"/>
          </w:tcPr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485D2E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 w:rsidRPr="00543960">
              <w:rPr>
                <w:b/>
                <w:sz w:val="24"/>
                <w:szCs w:val="24"/>
              </w:rPr>
              <w:t>INFORMED</w:t>
            </w:r>
          </w:p>
          <w:p w:rsidR="00543960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 w:rsidRPr="0054396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IE</w:t>
            </w:r>
            <w:r w:rsidRPr="00543960">
              <w:rPr>
                <w:b/>
                <w:sz w:val="24"/>
                <w:szCs w:val="24"/>
              </w:rPr>
              <w:t>R 4</w:t>
            </w:r>
          </w:p>
          <w:p w:rsidR="00543960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43960" w:rsidRDefault="00543960" w:rsidP="00543960">
            <w:r>
              <w:t xml:space="preserve">• UK CMO Physical activity guidelines </w:t>
            </w:r>
          </w:p>
          <w:p w:rsidR="00543960" w:rsidRDefault="00543960" w:rsidP="00543960">
            <w:r>
              <w:t xml:space="preserve">• Benefits of physical activity </w:t>
            </w:r>
          </w:p>
          <w:p w:rsidR="00543960" w:rsidRDefault="00543960" w:rsidP="00543960">
            <w:r>
              <w:t xml:space="preserve">• Risks of inactivity </w:t>
            </w:r>
          </w:p>
          <w:p w:rsidR="00543960" w:rsidRDefault="00543960" w:rsidP="00543960">
            <w:r>
              <w:t xml:space="preserve">• How to raise the issue of physical activity </w:t>
            </w:r>
          </w:p>
          <w:p w:rsidR="00543960" w:rsidRDefault="00543960" w:rsidP="00543960">
            <w:r>
              <w:t xml:space="preserve">• How to screen for inactivity </w:t>
            </w:r>
          </w:p>
          <w:p w:rsidR="00543960" w:rsidRDefault="00543960" w:rsidP="00543960">
            <w:r>
              <w:t xml:space="preserve">• Awareness of health behaviour change (HBC) </w:t>
            </w:r>
          </w:p>
          <w:p w:rsidR="00485D2E" w:rsidRPr="00543960" w:rsidRDefault="00543960" w:rsidP="00543960">
            <w:pPr>
              <w:rPr>
                <w:b/>
                <w:sz w:val="24"/>
                <w:szCs w:val="24"/>
              </w:rPr>
            </w:pPr>
            <w:r>
              <w:t>• Inequalities</w:t>
            </w:r>
          </w:p>
        </w:tc>
        <w:tc>
          <w:tcPr>
            <w:tcW w:w="4394" w:type="dxa"/>
          </w:tcPr>
          <w:p w:rsidR="00485D2E" w:rsidRPr="00543960" w:rsidRDefault="00543960" w:rsidP="00485D2E">
            <w:pPr>
              <w:jc w:val="center"/>
              <w:rPr>
                <w:b/>
                <w:sz w:val="24"/>
                <w:szCs w:val="24"/>
              </w:rPr>
            </w:pPr>
            <w:r>
              <w:t>Deliver very brief physical activity advice</w:t>
            </w:r>
          </w:p>
        </w:tc>
        <w:tc>
          <w:tcPr>
            <w:tcW w:w="5016" w:type="dxa"/>
          </w:tcPr>
          <w:p w:rsidR="00E22E68" w:rsidRPr="008B3C55" w:rsidRDefault="00A51294" w:rsidP="00E22E68">
            <w:pPr>
              <w:rPr>
                <w:b/>
                <w:sz w:val="24"/>
                <w:szCs w:val="24"/>
              </w:rPr>
            </w:pPr>
            <w:hyperlink r:id="rId6" w:history="1">
              <w:r w:rsidR="00E22E68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Map (Health Behaviour change) NES e-learning</w:t>
              </w:r>
            </w:hyperlink>
            <w:r w:rsidR="00E22E68" w:rsidRPr="008B3C55">
              <w:rPr>
                <w:b/>
                <w:sz w:val="24"/>
                <w:szCs w:val="24"/>
              </w:rPr>
              <w:t xml:space="preserve"> </w:t>
            </w:r>
          </w:p>
          <w:p w:rsidR="00E22E68" w:rsidRPr="008B3C55" w:rsidRDefault="00A51294" w:rsidP="00E22E68">
            <w:pPr>
              <w:rPr>
                <w:b/>
                <w:sz w:val="24"/>
                <w:szCs w:val="24"/>
              </w:rPr>
            </w:pPr>
            <w:hyperlink r:id="rId7" w:history="1">
              <w:r w:rsidR="00E22E68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Encouraging and enabling people to be active – online module</w:t>
              </w:r>
            </w:hyperlink>
            <w:r w:rsidR="00E22E68" w:rsidRPr="008B3C55">
              <w:rPr>
                <w:b/>
                <w:sz w:val="24"/>
                <w:szCs w:val="24"/>
              </w:rPr>
              <w:t xml:space="preserve"> </w:t>
            </w:r>
          </w:p>
          <w:p w:rsidR="00E22E68" w:rsidRPr="008B3C55" w:rsidRDefault="00A51294" w:rsidP="00E85CF2">
            <w:pPr>
              <w:rPr>
                <w:b/>
                <w:sz w:val="24"/>
                <w:szCs w:val="24"/>
              </w:rPr>
            </w:pPr>
            <w:hyperlink r:id="rId8" w:history="1">
              <w:r w:rsidR="00E22E68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 xml:space="preserve">Physical activity and health </w:t>
              </w:r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– e-learning module</w:t>
              </w:r>
            </w:hyperlink>
            <w:r w:rsidR="00E85CF2" w:rsidRPr="008B3C55">
              <w:rPr>
                <w:b/>
                <w:sz w:val="24"/>
                <w:szCs w:val="24"/>
              </w:rPr>
              <w:t xml:space="preserve">  </w:t>
            </w:r>
          </w:p>
          <w:p w:rsidR="00E85CF2" w:rsidRPr="008B3C55" w:rsidRDefault="00A51294" w:rsidP="00E85CF2">
            <w:pPr>
              <w:rPr>
                <w:b/>
                <w:sz w:val="24"/>
                <w:szCs w:val="24"/>
              </w:rPr>
            </w:pPr>
            <w:hyperlink r:id="rId9" w:history="1"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Moving medicine online resource</w:t>
              </w:r>
            </w:hyperlink>
            <w:r w:rsidR="00E85CF2" w:rsidRPr="008B3C55">
              <w:rPr>
                <w:b/>
                <w:sz w:val="24"/>
                <w:szCs w:val="24"/>
              </w:rPr>
              <w:t xml:space="preserve"> </w:t>
            </w:r>
          </w:p>
          <w:p w:rsidR="00E85CF2" w:rsidRPr="008B3C55" w:rsidRDefault="00A51294" w:rsidP="00E85CF2">
            <w:pPr>
              <w:rPr>
                <w:b/>
                <w:sz w:val="24"/>
                <w:szCs w:val="24"/>
              </w:rPr>
            </w:pPr>
            <w:hyperlink r:id="rId10" w:history="1"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Inequalities e-learning</w:t>
              </w:r>
            </w:hyperlink>
            <w:r w:rsidR="00E85CF2" w:rsidRPr="008B3C55">
              <w:rPr>
                <w:b/>
                <w:sz w:val="24"/>
                <w:szCs w:val="24"/>
              </w:rPr>
              <w:t xml:space="preserve"> </w:t>
            </w:r>
          </w:p>
          <w:p w:rsidR="00E85CF2" w:rsidRPr="00543960" w:rsidRDefault="00E85CF2" w:rsidP="00E85CF2">
            <w:pPr>
              <w:rPr>
                <w:b/>
                <w:sz w:val="24"/>
                <w:szCs w:val="24"/>
              </w:rPr>
            </w:pPr>
          </w:p>
        </w:tc>
      </w:tr>
      <w:tr w:rsidR="00E85CF2" w:rsidTr="008B3C55">
        <w:tc>
          <w:tcPr>
            <w:tcW w:w="1809" w:type="dxa"/>
            <w:vAlign w:val="center"/>
          </w:tcPr>
          <w:p w:rsidR="00485D2E" w:rsidRDefault="00485D2E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SKILLED</w:t>
            </w: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</w:t>
            </w:r>
          </w:p>
          <w:p w:rsidR="00543960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B3C55" w:rsidRDefault="008B3C55" w:rsidP="00543960"/>
          <w:p w:rsidR="00E93D85" w:rsidRDefault="00E93D85" w:rsidP="00543960">
            <w:r>
              <w:t xml:space="preserve">Person-centred physical activity advice </w:t>
            </w:r>
          </w:p>
          <w:p w:rsidR="00E93D85" w:rsidRDefault="00E93D85" w:rsidP="00543960">
            <w:r>
              <w:t xml:space="preserve">• Knowledge of how and where to signpost or refer </w:t>
            </w:r>
          </w:p>
          <w:p w:rsidR="00485D2E" w:rsidRDefault="00E93D85" w:rsidP="00543960">
            <w:r>
              <w:lastRenderedPageBreak/>
              <w:t>• Appropriate HBC techniques</w:t>
            </w:r>
          </w:p>
          <w:p w:rsidR="008F6236" w:rsidRDefault="008F6236" w:rsidP="00543960"/>
          <w:p w:rsidR="008F6236" w:rsidRPr="00543960" w:rsidRDefault="008F6236" w:rsidP="005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55" w:rsidRDefault="008B3C55" w:rsidP="00485D2E">
            <w:pPr>
              <w:jc w:val="center"/>
            </w:pPr>
          </w:p>
          <w:p w:rsidR="00485D2E" w:rsidRPr="00543960" w:rsidRDefault="00E93D85" w:rsidP="00485D2E">
            <w:pPr>
              <w:jc w:val="center"/>
              <w:rPr>
                <w:b/>
                <w:sz w:val="24"/>
                <w:szCs w:val="24"/>
              </w:rPr>
            </w:pPr>
            <w:r>
              <w:t>Deliver brief advice and/or intervention</w:t>
            </w:r>
          </w:p>
        </w:tc>
        <w:tc>
          <w:tcPr>
            <w:tcW w:w="5016" w:type="dxa"/>
          </w:tcPr>
          <w:p w:rsidR="008F6236" w:rsidRDefault="008F6236" w:rsidP="00E85CF2">
            <w:pPr>
              <w:rPr>
                <w:b/>
                <w:sz w:val="24"/>
                <w:szCs w:val="24"/>
              </w:rPr>
            </w:pPr>
          </w:p>
          <w:p w:rsidR="00485D2E" w:rsidRDefault="00E85CF2" w:rsidP="00E85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plus</w:t>
            </w:r>
          </w:p>
          <w:p w:rsidR="00E85CF2" w:rsidRPr="008B3C55" w:rsidRDefault="00A51294" w:rsidP="00E85CF2">
            <w:pPr>
              <w:rPr>
                <w:b/>
                <w:sz w:val="24"/>
                <w:szCs w:val="24"/>
              </w:rPr>
            </w:pPr>
            <w:hyperlink r:id="rId11" w:history="1"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Motivational interviewing e-learning</w:t>
              </w:r>
            </w:hyperlink>
            <w:r w:rsidR="00E85CF2" w:rsidRPr="008B3C55">
              <w:rPr>
                <w:b/>
                <w:sz w:val="24"/>
                <w:szCs w:val="24"/>
              </w:rPr>
              <w:t xml:space="preserve"> </w:t>
            </w:r>
          </w:p>
          <w:p w:rsidR="00E85CF2" w:rsidRPr="00543960" w:rsidRDefault="00A51294" w:rsidP="00E85CF2">
            <w:pPr>
              <w:rPr>
                <w:b/>
                <w:sz w:val="24"/>
                <w:szCs w:val="24"/>
              </w:rPr>
            </w:pPr>
            <w:hyperlink r:id="rId12" w:history="1"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t xml:space="preserve">Knowledge and access to Scottish Services </w:t>
              </w:r>
              <w:r w:rsidR="00E85CF2" w:rsidRPr="008B3C55">
                <w:rPr>
                  <w:rStyle w:val="Hyperlink"/>
                  <w:b/>
                  <w:sz w:val="24"/>
                  <w:szCs w:val="24"/>
                  <w:u w:val="none"/>
                </w:rPr>
                <w:lastRenderedPageBreak/>
                <w:t>directory</w:t>
              </w:r>
            </w:hyperlink>
            <w:r w:rsidR="00E85CF2">
              <w:rPr>
                <w:b/>
                <w:sz w:val="24"/>
                <w:szCs w:val="24"/>
              </w:rPr>
              <w:t xml:space="preserve"> (ALISS)</w:t>
            </w:r>
          </w:p>
        </w:tc>
      </w:tr>
      <w:tr w:rsidR="00E85CF2" w:rsidTr="008B3C55">
        <w:tc>
          <w:tcPr>
            <w:tcW w:w="1809" w:type="dxa"/>
            <w:vAlign w:val="center"/>
          </w:tcPr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485D2E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ENHANCED</w:t>
            </w: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2</w:t>
            </w:r>
          </w:p>
          <w:p w:rsidR="00543960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B3C55" w:rsidRDefault="008B3C55" w:rsidP="00543960"/>
          <w:p w:rsidR="008B3C55" w:rsidRDefault="008B3C55" w:rsidP="00543960"/>
          <w:p w:rsidR="00485D2E" w:rsidRPr="00543960" w:rsidRDefault="00E93D85" w:rsidP="00543960">
            <w:pPr>
              <w:rPr>
                <w:b/>
                <w:sz w:val="24"/>
                <w:szCs w:val="24"/>
              </w:rPr>
            </w:pPr>
            <w:r>
              <w:t>HBC enhanced skills and techniques</w:t>
            </w:r>
          </w:p>
        </w:tc>
        <w:tc>
          <w:tcPr>
            <w:tcW w:w="4394" w:type="dxa"/>
          </w:tcPr>
          <w:p w:rsidR="008B3C55" w:rsidRDefault="008B3C55" w:rsidP="00485D2E">
            <w:pPr>
              <w:jc w:val="center"/>
            </w:pPr>
          </w:p>
          <w:p w:rsidR="008B3C55" w:rsidRDefault="008B3C55" w:rsidP="00485D2E">
            <w:pPr>
              <w:jc w:val="center"/>
            </w:pPr>
          </w:p>
          <w:p w:rsidR="00485D2E" w:rsidRDefault="00E93D85" w:rsidP="00485D2E">
            <w:pPr>
              <w:jc w:val="center"/>
            </w:pPr>
            <w:r>
              <w:t>Extended brief intervention</w:t>
            </w:r>
          </w:p>
          <w:p w:rsidR="00E85CF2" w:rsidRPr="00543960" w:rsidRDefault="00E85CF2" w:rsidP="00D1047F">
            <w:pPr>
              <w:jc w:val="center"/>
              <w:rPr>
                <w:b/>
                <w:sz w:val="24"/>
                <w:szCs w:val="24"/>
              </w:rPr>
            </w:pPr>
            <w:r>
              <w:t xml:space="preserve">Deliver group </w:t>
            </w:r>
            <w:r w:rsidR="00D1047F">
              <w:t xml:space="preserve">physical </w:t>
            </w:r>
            <w:r>
              <w:t>activities</w:t>
            </w:r>
          </w:p>
        </w:tc>
        <w:tc>
          <w:tcPr>
            <w:tcW w:w="5016" w:type="dxa"/>
          </w:tcPr>
          <w:p w:rsidR="00485D2E" w:rsidRPr="008B3C55" w:rsidRDefault="00E85CF2" w:rsidP="00E85CF2">
            <w:pPr>
              <w:rPr>
                <w:b/>
                <w:sz w:val="24"/>
                <w:szCs w:val="24"/>
              </w:rPr>
            </w:pPr>
            <w:r w:rsidRPr="008B3C55">
              <w:rPr>
                <w:b/>
                <w:sz w:val="24"/>
                <w:szCs w:val="24"/>
              </w:rPr>
              <w:t>Above plus</w:t>
            </w:r>
          </w:p>
          <w:p w:rsidR="00E85CF2" w:rsidRPr="008B3C55" w:rsidRDefault="00E85CF2" w:rsidP="00E85CF2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Qualifications and continuing professional development (CPD) endorsed by CIMSPA in line with the </w:t>
            </w:r>
            <w:hyperlink r:id="rId13" w:history="1">
              <w:r w:rsidRPr="008B3C55">
                <w:rPr>
                  <w:rStyle w:val="Hyperlink"/>
                  <w:b/>
                  <w:sz w:val="24"/>
                  <w:szCs w:val="24"/>
                  <w:u w:val="none"/>
                </w:rPr>
                <w:t>CIMPSA professional standards for working with inactive people and people with long term conditions</w:t>
              </w:r>
            </w:hyperlink>
            <w:r w:rsidRPr="008B3C55">
              <w:rPr>
                <w:sz w:val="24"/>
                <w:szCs w:val="24"/>
              </w:rPr>
              <w:t xml:space="preserve"> CIMSPA members who are holders of</w:t>
            </w:r>
            <w:r w:rsidR="008B3C55" w:rsidRPr="008B3C55">
              <w:rPr>
                <w:sz w:val="24"/>
                <w:szCs w:val="24"/>
              </w:rPr>
              <w:t xml:space="preserve"> qualifications and CPD in these areas can hold the Professional Status of </w:t>
            </w:r>
            <w:r w:rsidR="00D1047F">
              <w:rPr>
                <w:sz w:val="24"/>
                <w:szCs w:val="24"/>
              </w:rPr>
              <w:t>Physical activity</w:t>
            </w:r>
            <w:r w:rsidR="008B3C55" w:rsidRPr="008B3C55">
              <w:rPr>
                <w:sz w:val="24"/>
                <w:szCs w:val="24"/>
              </w:rPr>
              <w:t xml:space="preserve"> Referral Practitioner </w:t>
            </w:r>
          </w:p>
          <w:p w:rsidR="008B3C55" w:rsidRPr="008B3C55" w:rsidRDefault="00A51294" w:rsidP="008B3C55">
            <w:pPr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8B3C55" w:rsidRPr="008B3C55">
                <w:rPr>
                  <w:rStyle w:val="Hyperlink"/>
                  <w:b/>
                  <w:sz w:val="24"/>
                  <w:szCs w:val="24"/>
                </w:rPr>
                <w:t>Physical Literacy training</w:t>
              </w:r>
            </w:hyperlink>
            <w:r w:rsidR="008B3C55" w:rsidRPr="008B3C5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B3C55" w:rsidRPr="008B3C55" w:rsidRDefault="00A51294" w:rsidP="008B3C55">
            <w:pPr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="008B3C55" w:rsidRPr="008B3C55">
                <w:rPr>
                  <w:rStyle w:val="Hyperlink"/>
                  <w:b/>
                  <w:sz w:val="24"/>
                  <w:szCs w:val="24"/>
                </w:rPr>
                <w:t>THRIVE toolkit</w:t>
              </w:r>
            </w:hyperlink>
          </w:p>
          <w:p w:rsidR="008B3C55" w:rsidRPr="008B3C55" w:rsidRDefault="008B3C55" w:rsidP="008B3C5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CPD delivered by qualified healthcare professionals </w:t>
            </w:r>
          </w:p>
          <w:p w:rsidR="008B3C55" w:rsidRPr="00543960" w:rsidRDefault="008B3C55" w:rsidP="008B3C55">
            <w:pPr>
              <w:rPr>
                <w:b/>
                <w:sz w:val="24"/>
                <w:szCs w:val="24"/>
              </w:rPr>
            </w:pPr>
          </w:p>
        </w:tc>
      </w:tr>
      <w:tr w:rsidR="00E85CF2" w:rsidTr="008B3C55">
        <w:tc>
          <w:tcPr>
            <w:tcW w:w="1809" w:type="dxa"/>
            <w:vAlign w:val="center"/>
          </w:tcPr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485D2E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SPECIALIST</w:t>
            </w: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  <w:p w:rsid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1</w:t>
            </w:r>
          </w:p>
          <w:p w:rsidR="00543960" w:rsidRPr="00543960" w:rsidRDefault="00543960" w:rsidP="008B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B3C55" w:rsidRDefault="008B3C55" w:rsidP="00543960"/>
          <w:p w:rsidR="008B3C55" w:rsidRDefault="008B3C55" w:rsidP="00543960"/>
          <w:p w:rsidR="00485D2E" w:rsidRPr="00543960" w:rsidRDefault="00E93D85" w:rsidP="00543960">
            <w:pPr>
              <w:rPr>
                <w:b/>
                <w:sz w:val="24"/>
                <w:szCs w:val="24"/>
              </w:rPr>
            </w:pPr>
            <w:r>
              <w:t xml:space="preserve">Clinical </w:t>
            </w:r>
            <w:r w:rsidR="00D1047F">
              <w:t>physical activity</w:t>
            </w:r>
            <w:r w:rsidR="008B3C55">
              <w:t xml:space="preserve"> delivery</w:t>
            </w:r>
          </w:p>
        </w:tc>
        <w:tc>
          <w:tcPr>
            <w:tcW w:w="4394" w:type="dxa"/>
          </w:tcPr>
          <w:p w:rsidR="008B3C55" w:rsidRDefault="008B3C55" w:rsidP="00485D2E">
            <w:pPr>
              <w:jc w:val="center"/>
            </w:pPr>
          </w:p>
          <w:p w:rsidR="008B3C55" w:rsidRDefault="008B3C55" w:rsidP="00485D2E">
            <w:pPr>
              <w:jc w:val="center"/>
            </w:pPr>
          </w:p>
          <w:p w:rsidR="00485D2E" w:rsidRPr="008B3C55" w:rsidRDefault="008B3C55" w:rsidP="00D1047F">
            <w:pPr>
              <w:jc w:val="center"/>
            </w:pPr>
            <w:r w:rsidRPr="008B3C55">
              <w:t xml:space="preserve">High </w:t>
            </w:r>
            <w:r w:rsidR="00D1047F">
              <w:t>complexity physical activity and</w:t>
            </w:r>
            <w:r w:rsidRPr="008B3C55">
              <w:t xml:space="preserve"> behaviour change activities</w:t>
            </w:r>
          </w:p>
        </w:tc>
        <w:tc>
          <w:tcPr>
            <w:tcW w:w="5016" w:type="dxa"/>
          </w:tcPr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CIMSPA-endorsed CPD in the following areas: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obesity/diabetes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chronic respiratory disease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long-term neurological conditions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cardiac disease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falls prevention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stroke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mental health </w:t>
            </w:r>
          </w:p>
          <w:p w:rsidR="00E93D85" w:rsidRPr="008B3C55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• back pain. </w:t>
            </w:r>
          </w:p>
          <w:p w:rsidR="00485D2E" w:rsidRDefault="00543960" w:rsidP="00E93D85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>CIMSPA members who are holders of qualifications and CPD in these areas can hold Professional Status of Senior Activity and Health Practitioner and/or Chartered Activity and Health Practitioner</w:t>
            </w:r>
          </w:p>
          <w:p w:rsidR="008B3C55" w:rsidRDefault="008B3C55" w:rsidP="00E93D85">
            <w:pPr>
              <w:rPr>
                <w:sz w:val="24"/>
                <w:szCs w:val="24"/>
              </w:rPr>
            </w:pPr>
          </w:p>
          <w:p w:rsidR="008B3C55" w:rsidRDefault="008B3C55" w:rsidP="00FB4EAD">
            <w:pPr>
              <w:rPr>
                <w:sz w:val="24"/>
                <w:szCs w:val="24"/>
              </w:rPr>
            </w:pPr>
            <w:r w:rsidRPr="008B3C55">
              <w:rPr>
                <w:sz w:val="24"/>
                <w:szCs w:val="24"/>
              </w:rPr>
              <w:t xml:space="preserve">CPD delivered by qualified healthcare professionals </w:t>
            </w:r>
          </w:p>
          <w:p w:rsidR="00FB4EAD" w:rsidRPr="00FB4EAD" w:rsidRDefault="00FB4EAD" w:rsidP="00FB4EAD">
            <w:pPr>
              <w:rPr>
                <w:b/>
                <w:sz w:val="16"/>
                <w:szCs w:val="16"/>
              </w:rPr>
            </w:pPr>
          </w:p>
        </w:tc>
      </w:tr>
    </w:tbl>
    <w:p w:rsidR="004611CB" w:rsidRDefault="004611CB" w:rsidP="00FB4EAD">
      <w:pPr>
        <w:jc w:val="center"/>
        <w:rPr>
          <w:b/>
          <w:sz w:val="24"/>
          <w:szCs w:val="24"/>
          <w:u w:val="single"/>
        </w:rPr>
      </w:pPr>
    </w:p>
    <w:sectPr w:rsidR="004611CB" w:rsidSect="00AB3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560"/>
    <w:multiLevelType w:val="hybridMultilevel"/>
    <w:tmpl w:val="D89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3027"/>
    <w:multiLevelType w:val="hybridMultilevel"/>
    <w:tmpl w:val="0D82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2E2F"/>
    <w:multiLevelType w:val="hybridMultilevel"/>
    <w:tmpl w:val="D94EF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CA7"/>
    <w:rsid w:val="0001242C"/>
    <w:rsid w:val="00025535"/>
    <w:rsid w:val="00083A03"/>
    <w:rsid w:val="00131F0F"/>
    <w:rsid w:val="00153F06"/>
    <w:rsid w:val="0018478E"/>
    <w:rsid w:val="001875C7"/>
    <w:rsid w:val="001A35E7"/>
    <w:rsid w:val="001B26D8"/>
    <w:rsid w:val="001F30FD"/>
    <w:rsid w:val="0024694B"/>
    <w:rsid w:val="002C03D1"/>
    <w:rsid w:val="00396802"/>
    <w:rsid w:val="003A0718"/>
    <w:rsid w:val="003D1475"/>
    <w:rsid w:val="003D598E"/>
    <w:rsid w:val="004611CB"/>
    <w:rsid w:val="00485D2E"/>
    <w:rsid w:val="004E7C00"/>
    <w:rsid w:val="00541092"/>
    <w:rsid w:val="00543960"/>
    <w:rsid w:val="00552D1A"/>
    <w:rsid w:val="0057530D"/>
    <w:rsid w:val="005E224E"/>
    <w:rsid w:val="00682229"/>
    <w:rsid w:val="006B6790"/>
    <w:rsid w:val="006F74A0"/>
    <w:rsid w:val="007329C7"/>
    <w:rsid w:val="007675D1"/>
    <w:rsid w:val="008B3C55"/>
    <w:rsid w:val="008C7BE0"/>
    <w:rsid w:val="008F6236"/>
    <w:rsid w:val="009A6561"/>
    <w:rsid w:val="00A23152"/>
    <w:rsid w:val="00A51294"/>
    <w:rsid w:val="00A52B2E"/>
    <w:rsid w:val="00A62809"/>
    <w:rsid w:val="00A87BA8"/>
    <w:rsid w:val="00AB3CA7"/>
    <w:rsid w:val="00AC5708"/>
    <w:rsid w:val="00B624F7"/>
    <w:rsid w:val="00B759DB"/>
    <w:rsid w:val="00B9147D"/>
    <w:rsid w:val="00BE3D04"/>
    <w:rsid w:val="00C52F94"/>
    <w:rsid w:val="00D1047F"/>
    <w:rsid w:val="00D85418"/>
    <w:rsid w:val="00E22E68"/>
    <w:rsid w:val="00E85CF2"/>
    <w:rsid w:val="00E93D85"/>
    <w:rsid w:val="00EB299B"/>
    <w:rsid w:val="00EC01BB"/>
    <w:rsid w:val="00F200A0"/>
    <w:rsid w:val="00F25455"/>
    <w:rsid w:val="00FB4EAD"/>
    <w:rsid w:val="00F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5" type="connector" idref="#_x0000_s1045"/>
        <o:r id="V:Rule16" type="connector" idref="#_x0000_s1051"/>
        <o:r id="V:Rule17" type="connector" idref="#_x0000_s1058"/>
        <o:r id="V:Rule18" type="connector" idref="#_x0000_s1061"/>
        <o:r id="V:Rule19" type="connector" idref="#_x0000_s1067"/>
        <o:r id="V:Rule20" type="connector" idref="#_x0000_s1052"/>
        <o:r id="V:Rule21" type="connector" idref="#_x0000_s1063"/>
        <o:r id="V:Rule22" type="connector" idref="#_x0000_s1054"/>
        <o:r id="V:Rule23" type="connector" idref="#_x0000_s1053"/>
        <o:r id="V:Rule24" type="connector" idref="#_x0000_s1060"/>
        <o:r id="V:Rule25" type="connector" idref="#_x0000_s1048"/>
        <o:r id="V:Rule26" type="connector" idref="#_x0000_s1059"/>
        <o:r id="V:Rule27" type="connector" idref="#_x0000_s1071"/>
        <o:r id="V:Rule28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E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lfh.org.uk/programmes/physical-activity-and-health/" TargetMode="External"/><Relationship Id="rId13" Type="http://schemas.openxmlformats.org/officeDocument/2006/relationships/hyperlink" Target="https://www.cimspa.co.uk/standards-home/professional-standards-library?cid=18&amp;d=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publichealthscotland.scot/course/view.php?id=581&amp;section=1" TargetMode="External"/><Relationship Id="rId12" Type="http://schemas.openxmlformats.org/officeDocument/2006/relationships/hyperlink" Target="https://hscscotland.scot/service-direct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s.scot.nhs.uk/our-work/behaviour-change-for-health/" TargetMode="External"/><Relationship Id="rId11" Type="http://schemas.openxmlformats.org/officeDocument/2006/relationships/hyperlink" Target="https://portal.e-lfh.org.uk/Component/Details/3915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rivelearning.org.uk/" TargetMode="External"/><Relationship Id="rId10" Type="http://schemas.openxmlformats.org/officeDocument/2006/relationships/hyperlink" Target="http://www.healthscotland.scot/learning-resources/health-inequalities-aware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vingmedicine.ac.uk/" TargetMode="External"/><Relationship Id="rId14" Type="http://schemas.openxmlformats.org/officeDocument/2006/relationships/hyperlink" Target="https://www.physical-literacy.org.uk/about/?v=79cba1185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dlaid01</dc:creator>
  <cp:lastModifiedBy>dlaid01</cp:lastModifiedBy>
  <cp:revision>4</cp:revision>
  <cp:lastPrinted>2022-06-10T12:15:00Z</cp:lastPrinted>
  <dcterms:created xsi:type="dcterms:W3CDTF">2022-11-28T15:21:00Z</dcterms:created>
  <dcterms:modified xsi:type="dcterms:W3CDTF">2022-11-28T15:46:00Z</dcterms:modified>
</cp:coreProperties>
</file>